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南银理财珠联璧合鑫悦享月月盈公募人民币理财产品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南银理财珠联璧合鑫悦享月月盈公募人民币理财产品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Z7003220000010（投资者可依据该编码在中国理财网www.chinawealth.com.cn查询理财产品相关信息）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2019年09月26日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2,604,485,763.12份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华鑫证券有限责任公司,国投泰康信托有限公司,鑫元基金管理有限公司,鑫沅资产管理有限公司,太平洋资产管理有限责任公司,江苏省国际信托有限责任公司,光大永明资产管理股份有限公司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Z40002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2,739,192,360.78</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1.1054</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1.1975</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Z40007</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18,432,055.79</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1.1127</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1.1398</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Z41002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121,618,890.33</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1.1059</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1.1059</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Z42002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19,155.79</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1.1037</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1.1037</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这些都验证了之前在3季度的判断。</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在品种上，可以关注一些3-5年的银行二级资本债和永续债的交易型机会。</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截至报告期末，本产品Z40002份额净值为1.1054元，Z40007份额净值为1.1127元，Z41002份额净值为1.1059元，Z42002份额净值为1.1037元。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99.43%</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0.57%</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ZJQTT202202160001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鑫元基金-鑫安利得57号集合资产管理计划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210,719,341.83</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7.32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ZJQTT202311080001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国投泰康信托福佳1号集合资金信托计划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118,169,971.26</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太平洋卓越纯债2号产品</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100,090,279.87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DQCKX202412100001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民生银行定期存款20241210</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DQCKX202405090001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中国银行定期存款20240509A</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112409174</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24浦发银行CD174</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98,209,200.00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112409164</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24浦发银行CD164</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98,174,800.00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ZJQTT202204260021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江苏信托南银1号集合资金信托计划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97,483,400.88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XJCKX202402080001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农业银行河南分行活期存款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96,379,713.89</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196284</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22宁玄01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2.78</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0120040000000331</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南京银行鑫悦享月月盈</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产品投资关联方作为管理人的资产管理产品交易金额103,000,000.00元。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产品支付关联方托管费153,667.62元，支付关联方代销费0.00元。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